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9A" w:rsidRDefault="00627418">
      <w:pPr>
        <w:pStyle w:val="Title"/>
        <w:spacing w:line="192" w:lineRule="auto"/>
        <w:rPr>
          <w:sz w:val="50"/>
          <w:szCs w:val="50"/>
        </w:rPr>
      </w:pPr>
      <w:bookmarkStart w:id="0" w:name="_hvyyczfnejks" w:colFirst="0" w:colLast="0"/>
      <w:bookmarkStart w:id="1" w:name="_GoBack"/>
      <w:bookmarkEnd w:id="0"/>
      <w:bookmarkEnd w:id="1"/>
      <w:r>
        <w:rPr>
          <w:rFonts w:ascii="Press Start 2P" w:eastAsia="Press Start 2P" w:hAnsi="Press Start 2P" w:cs="Press Start 2P"/>
          <w:noProof/>
          <w:color w:val="FF0000"/>
          <w:sz w:val="276"/>
          <w:szCs w:val="276"/>
          <w:lang w:val="en-US"/>
        </w:rPr>
        <w:drawing>
          <wp:inline distT="114300" distB="114300" distL="114300" distR="114300">
            <wp:extent cx="1433596" cy="1588580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96" cy="1588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bril Fatface" w:eastAsia="Abril Fatface" w:hAnsi="Abril Fatface" w:cs="Abril Fatface"/>
          <w:sz w:val="300"/>
          <w:szCs w:val="300"/>
        </w:rPr>
        <w:t xml:space="preserve"> </w:t>
      </w:r>
      <w:r>
        <w:rPr>
          <w:rFonts w:ascii="Abril Fatface" w:eastAsia="Abril Fatface" w:hAnsi="Abril Fatface" w:cs="Abril Fatface"/>
          <w:sz w:val="74"/>
          <w:szCs w:val="74"/>
        </w:rPr>
        <w:t>Boletín del León de Lincoln</w:t>
      </w:r>
    </w:p>
    <w:p w:rsidR="003B379A" w:rsidRDefault="00627418">
      <w:pPr>
        <w:spacing w:line="180" w:lineRule="auto"/>
        <w:rPr>
          <w:rFonts w:ascii="Quicksand" w:eastAsia="Quicksand" w:hAnsi="Quicksand" w:cs="Quicksand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Quicksand" w:eastAsia="Quicksand" w:hAnsi="Quicksand" w:cs="Quicksand"/>
          <w:b/>
          <w:sz w:val="24"/>
          <w:szCs w:val="24"/>
        </w:rPr>
        <w:t>Septiembre 2024</w:t>
      </w:r>
    </w:p>
    <w:p w:rsidR="003B379A" w:rsidRDefault="003B379A">
      <w:pPr>
        <w:spacing w:line="180" w:lineRule="auto"/>
        <w:rPr>
          <w:sz w:val="30"/>
          <w:szCs w:val="30"/>
        </w:rPr>
      </w:pPr>
    </w:p>
    <w:p w:rsidR="003B379A" w:rsidRDefault="00627418">
      <w:pPr>
        <w:spacing w:line="180" w:lineRule="auto"/>
        <w:jc w:val="center"/>
        <w:rPr>
          <w:rFonts w:ascii="Shadows Into Light" w:eastAsia="Shadows Into Light" w:hAnsi="Shadows Into Light" w:cs="Shadows Into Light"/>
          <w:color w:val="FF0000"/>
          <w:sz w:val="20"/>
          <w:szCs w:val="20"/>
        </w:rPr>
      </w:pPr>
      <w:r>
        <w:rPr>
          <w:rFonts w:ascii="Shadows Into Light" w:eastAsia="Shadows Into Light" w:hAnsi="Shadows Into Light" w:cs="Shadows Into Light"/>
          <w:b/>
          <w:color w:val="FF0000"/>
          <w:sz w:val="50"/>
          <w:szCs w:val="50"/>
        </w:rPr>
        <w:t>¡Bienvenidos Leones!</w:t>
      </w:r>
      <w:r>
        <w:rPr>
          <w:rFonts w:ascii="Shadows Into Light" w:eastAsia="Shadows Into Light" w:hAnsi="Shadows Into Light" w:cs="Shadows Into Light"/>
          <w:color w:val="FF0000"/>
          <w:sz w:val="38"/>
          <w:szCs w:val="38"/>
        </w:rPr>
        <w:t xml:space="preserve"> </w:t>
      </w:r>
    </w:p>
    <w:tbl>
      <w:tblPr>
        <w:tblStyle w:val="a"/>
        <w:tblW w:w="12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40"/>
      </w:tblGrid>
      <w:tr w:rsidR="003B379A">
        <w:trPr>
          <w:trHeight w:val="2167"/>
        </w:trPr>
        <w:tc>
          <w:tcPr>
            <w:tcW w:w="1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color w:val="FF0000"/>
                <w:sz w:val="26"/>
                <w:szCs w:val="26"/>
              </w:rPr>
            </w:pPr>
            <w:r>
              <w:rPr>
                <w:rFonts w:ascii="Shadows Into Light" w:eastAsia="Shadows Into Light" w:hAnsi="Shadows Into Light" w:cs="Shadows Into Light"/>
                <w:b/>
                <w:sz w:val="26"/>
                <w:szCs w:val="26"/>
              </w:rPr>
              <w:t>Próximos eventos</w:t>
            </w:r>
            <w:r>
              <w:rPr>
                <w:rFonts w:ascii="Shadows Into Light" w:eastAsia="Shadows Into Light" w:hAnsi="Shadows Into Light" w:cs="Shadows Into Light"/>
                <w:color w:val="FF0000"/>
                <w:sz w:val="26"/>
                <w:szCs w:val="26"/>
              </w:rPr>
              <w:t xml:space="preserve">: </w:t>
            </w:r>
          </w:p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u w:val="single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4"/>
                <w:szCs w:val="24"/>
              </w:rPr>
              <w:t>9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 xml:space="preserve">/2 ¡DÍA DEL TRABAJO! NO HAY ESCUELA                             * </w:t>
            </w:r>
            <w:r>
              <w:rPr>
                <w:rFonts w:ascii="Shadows Into Light" w:eastAsia="Shadows Into Light" w:hAnsi="Shadows Into Light" w:cs="Shadows Into Light"/>
                <w:b/>
              </w:rPr>
              <w:t>Juntas de la Feria de Ciencias previstas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</w:rPr>
              <w:t xml:space="preserve"> 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  <w:u w:val="single"/>
              </w:rPr>
              <w:t>18 de octubre</w:t>
            </w:r>
          </w:p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b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 xml:space="preserve">3/9-6/9 Comienza el club I </w:t>
            </w:r>
            <w:proofErr w:type="spellStart"/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>Ready</w:t>
            </w:r>
            <w:proofErr w:type="spellEnd"/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>Homework</w:t>
            </w:r>
            <w:proofErr w:type="spellEnd"/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 xml:space="preserve">                            * 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</w:rPr>
              <w:t xml:space="preserve">El concurso de la Feria de Ciencias de Lincoln es </w:t>
            </w:r>
            <w:r>
              <w:rPr>
                <w:rFonts w:ascii="Shadows Into Light" w:eastAsia="Shadows Into Light" w:hAnsi="Shadows Into Light" w:cs="Shadows Into Light"/>
                <w:b/>
                <w:u w:val="single"/>
              </w:rPr>
              <w:t>Nov. 5to</w:t>
            </w:r>
            <w:r>
              <w:rPr>
                <w:rFonts w:ascii="Shadows Into Light" w:eastAsia="Shadows Into Light" w:hAnsi="Shadows Into Light" w:cs="Shadows Into Light"/>
                <w:b/>
              </w:rPr>
              <w:t xml:space="preserve">! </w:t>
            </w:r>
          </w:p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>9/6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 xml:space="preserve"> Su hielo 10:30-1:15</w:t>
            </w:r>
          </w:p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>9/9-9/10 Examen de la vista</w:t>
            </w:r>
          </w:p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>9/13 El dinero del pedido de camiseta de Lincoln se debe</w:t>
            </w:r>
          </w:p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>17/9 Notas de progreso 1er trimestre</w:t>
            </w:r>
          </w:p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>20/9 Su hielo 10:30-1:15</w:t>
            </w:r>
          </w:p>
          <w:p w:rsidR="003B379A" w:rsidRDefault="00627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0"/>
                <w:szCs w:val="20"/>
              </w:rPr>
              <w:t>25/9 ¡Día de maquillaje de fotos!</w:t>
            </w:r>
          </w:p>
          <w:p w:rsidR="003B379A" w:rsidRDefault="003B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hadows Into Light" w:eastAsia="Shadows Into Light" w:hAnsi="Shadows Into Light" w:cs="Shadows Into Light"/>
                <w:color w:val="FF0000"/>
                <w:sz w:val="20"/>
                <w:szCs w:val="20"/>
              </w:rPr>
            </w:pPr>
          </w:p>
        </w:tc>
      </w:tr>
    </w:tbl>
    <w:p w:rsidR="003B379A" w:rsidRDefault="00627418">
      <w:pPr>
        <w:spacing w:line="60" w:lineRule="auto"/>
        <w:rPr>
          <w:rFonts w:ascii="Shadows Into Light" w:eastAsia="Shadows Into Light" w:hAnsi="Shadows Into Light" w:cs="Shadows Into Light"/>
          <w:color w:val="FF0000"/>
          <w:sz w:val="24"/>
          <w:szCs w:val="24"/>
        </w:rPr>
      </w:pPr>
      <w:r>
        <w:rPr>
          <w:rFonts w:ascii="Shadows Into Light" w:eastAsia="Shadows Into Light" w:hAnsi="Shadows Into Light" w:cs="Shadows Into Light"/>
          <w:noProof/>
          <w:color w:val="FF0000"/>
          <w:sz w:val="24"/>
          <w:szCs w:val="24"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7121902</wp:posOffset>
            </wp:positionH>
            <wp:positionV relativeFrom="page">
              <wp:posOffset>9101138</wp:posOffset>
            </wp:positionV>
            <wp:extent cx="464760" cy="755874"/>
            <wp:effectExtent l="0" t="0" r="0" b="0"/>
            <wp:wrapSquare wrapText="bothSides" distT="114300" distB="11430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760" cy="755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2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5430"/>
        <w:gridCol w:w="4080"/>
      </w:tblGrid>
      <w:tr w:rsidR="003B379A">
        <w:trPr>
          <w:trHeight w:val="8488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79A" w:rsidRDefault="00627418">
            <w:pPr>
              <w:widowControl w:val="0"/>
              <w:spacing w:line="132" w:lineRule="auto"/>
              <w:jc w:val="center"/>
              <w:rPr>
                <w:rFonts w:ascii="Shadows Into Light" w:eastAsia="Shadows Into Light" w:hAnsi="Shadows Into Light" w:cs="Shadows Into Light"/>
                <w:b/>
                <w:color w:val="FF0000"/>
                <w:sz w:val="24"/>
                <w:szCs w:val="24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4"/>
                <w:szCs w:val="24"/>
              </w:rPr>
              <w:lastRenderedPageBreak/>
              <w:t>¡Gente que puede ayudar!</w:t>
            </w:r>
          </w:p>
          <w:p w:rsidR="003B379A" w:rsidRDefault="00627418">
            <w:pPr>
              <w:widowControl w:val="0"/>
              <w:spacing w:line="132" w:lineRule="auto"/>
              <w:jc w:val="center"/>
              <w:rPr>
                <w:rFonts w:ascii="Shadows Into Light" w:eastAsia="Shadows Into Light" w:hAnsi="Shadows Into Light" w:cs="Shadows Into Light"/>
                <w:b/>
                <w:color w:val="FF0000"/>
                <w:sz w:val="24"/>
                <w:szCs w:val="24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4"/>
                <w:szCs w:val="24"/>
              </w:rPr>
              <w:t>¡Ven a vernos!</w:t>
            </w:r>
          </w:p>
          <w:p w:rsidR="003B379A" w:rsidRDefault="003B379A">
            <w:pPr>
              <w:widowControl w:val="0"/>
              <w:spacing w:line="132" w:lineRule="auto"/>
              <w:rPr>
                <w:rFonts w:ascii="Shadows Into Light" w:eastAsia="Shadows Into Light" w:hAnsi="Shadows Into Light" w:cs="Shadows Into Light"/>
                <w:color w:val="FF0000"/>
              </w:rPr>
            </w:pPr>
          </w:p>
          <w:p w:rsidR="003B379A" w:rsidRDefault="00627418">
            <w:pPr>
              <w:widowControl w:val="0"/>
              <w:spacing w:line="120" w:lineRule="auto"/>
              <w:rPr>
                <w:rFonts w:ascii="Shadows Into Light" w:eastAsia="Shadows Into Light" w:hAnsi="Shadows Into Light" w:cs="Shadows Into Light"/>
                <w:sz w:val="19"/>
                <w:szCs w:val="19"/>
              </w:rPr>
            </w:pPr>
            <w:proofErr w:type="spellStart"/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>Principio</w:t>
            </w:r>
            <w:r>
              <w:rPr>
                <w:rFonts w:ascii="Shadows Into Light" w:eastAsia="Shadows Into Light" w:hAnsi="Shadows Into Light" w:cs="Shadows Into Light"/>
                <w:color w:val="FF0000"/>
                <w:sz w:val="19"/>
                <w:szCs w:val="19"/>
              </w:rPr>
              <w:t>yo</w:t>
            </w:r>
            <w:proofErr w:type="spellEnd"/>
            <w:r>
              <w:rPr>
                <w:rFonts w:ascii="Shadows Into Light" w:eastAsia="Shadows Into Light" w:hAnsi="Shadows Into Light" w:cs="Shadows Into Light"/>
                <w:color w:val="FF0000"/>
                <w:sz w:val="19"/>
                <w:szCs w:val="19"/>
              </w:rPr>
              <w:t>:</w:t>
            </w:r>
            <w:r>
              <w:rPr>
                <w:rFonts w:ascii="Shadows Into Light" w:eastAsia="Shadows Into Light" w:hAnsi="Shadows Into Light" w:cs="Shadows Into Light"/>
                <w:sz w:val="19"/>
                <w:szCs w:val="19"/>
              </w:rPr>
              <w:t xml:space="preserve"> </w:t>
            </w: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>Sra. Swearengin</w:t>
            </w:r>
            <w:r>
              <w:rPr>
                <w:rFonts w:ascii="Shadows Into Light" w:eastAsia="Shadows Into Light" w:hAnsi="Shadows Into Light" w:cs="Shadows Into Light"/>
                <w:sz w:val="19"/>
                <w:szCs w:val="19"/>
              </w:rPr>
              <w:t xml:space="preserve">   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9"/>
                <w:szCs w:val="19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>Subdirector:</w:t>
            </w:r>
            <w:r>
              <w:rPr>
                <w:rFonts w:ascii="Shadows Into Light" w:eastAsia="Shadows Into Light" w:hAnsi="Shadows Into Light" w:cs="Shadows Into Ligh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>Mrs. Pasillas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9"/>
                <w:szCs w:val="19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>Consejero Escolar:</w:t>
            </w:r>
            <w:r>
              <w:rPr>
                <w:rFonts w:ascii="Shadows Into Light" w:eastAsia="Shadows Into Light" w:hAnsi="Shadows Into Light" w:cs="Shadows Into Ligh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 xml:space="preserve">Sra. </w:t>
            </w:r>
            <w:proofErr w:type="spellStart"/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>Stubblefield</w:t>
            </w:r>
            <w:proofErr w:type="spellEnd"/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 xml:space="preserve">, edificio principal de arriba 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9"/>
                <w:szCs w:val="19"/>
              </w:rPr>
            </w:pP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 xml:space="preserve"> 130A  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9"/>
                <w:szCs w:val="19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>Asistente social</w:t>
            </w:r>
            <w:r>
              <w:rPr>
                <w:rFonts w:ascii="Shadows Into Light" w:eastAsia="Shadows Into Light" w:hAnsi="Shadows Into Light" w:cs="Shadows Into Light"/>
                <w:b/>
                <w:sz w:val="19"/>
                <w:szCs w:val="19"/>
              </w:rPr>
              <w:t xml:space="preserve">: </w:t>
            </w: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>Habitación 164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9"/>
                <w:szCs w:val="19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>Personal de oficina:</w:t>
            </w:r>
            <w:r>
              <w:rPr>
                <w:rFonts w:ascii="Shadows Into Light" w:eastAsia="Shadows Into Light" w:hAnsi="Shadows Into Light" w:cs="Shadows Into Light"/>
                <w:color w:val="FF0000"/>
                <w:sz w:val="19"/>
                <w:szCs w:val="19"/>
              </w:rPr>
              <w:t>:</w:t>
            </w:r>
            <w:r>
              <w:rPr>
                <w:rFonts w:ascii="Shadows Into Light" w:eastAsia="Shadows Into Light" w:hAnsi="Shadows Into Light" w:cs="Shadows Into Light"/>
                <w:sz w:val="19"/>
                <w:szCs w:val="19"/>
              </w:rPr>
              <w:t xml:space="preserve"> </w:t>
            </w: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>Sra. Williams, Sra. Wright y Sra. Tolentino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9"/>
                <w:szCs w:val="19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>Seguridad del campus: edificio principal</w:t>
            </w:r>
            <w:r>
              <w:rPr>
                <w:rFonts w:ascii="Shadows Into Light" w:eastAsia="Shadows Into Light" w:hAnsi="Shadows Into Light" w:cs="Shadows Into Ligh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 xml:space="preserve">Sr. </w:t>
            </w:r>
            <w:proofErr w:type="spellStart"/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>Neudorf</w:t>
            </w:r>
            <w:proofErr w:type="spellEnd"/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 xml:space="preserve"> y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sz w:val="19"/>
                <w:szCs w:val="19"/>
              </w:rPr>
            </w:pP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 xml:space="preserve"> Sr. </w:t>
            </w:r>
            <w:proofErr w:type="spellStart"/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>Kwonto</w:t>
            </w:r>
            <w:proofErr w:type="spellEnd"/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 xml:space="preserve">  </w:t>
            </w:r>
            <w:r>
              <w:rPr>
                <w:rFonts w:ascii="Quicksand" w:eastAsia="Quicksand" w:hAnsi="Quicksand" w:cs="Quicksand"/>
                <w:sz w:val="19"/>
                <w:szCs w:val="19"/>
              </w:rPr>
              <w:t xml:space="preserve"> 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9"/>
                <w:szCs w:val="19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>Auxiliar de salud:</w:t>
            </w:r>
            <w:r>
              <w:rPr>
                <w:rFonts w:ascii="Shadows Into Light" w:eastAsia="Shadows Into Light" w:hAnsi="Shadows Into Light" w:cs="Shadows Into Ligh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 xml:space="preserve">Edificio </w:t>
            </w:r>
            <w:proofErr w:type="spellStart"/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9"/>
                <w:szCs w:val="19"/>
              </w:rPr>
              <w:t>principal</w:t>
            </w:r>
            <w:r>
              <w:rPr>
                <w:rFonts w:ascii="Shadows Into Light" w:eastAsia="Shadows Into Light" w:hAnsi="Shadows Into Light" w:cs="Shadows Into Light"/>
                <w:b/>
                <w:sz w:val="19"/>
                <w:szCs w:val="19"/>
              </w:rPr>
              <w:t>:</w:t>
            </w:r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>Sra</w:t>
            </w:r>
            <w:proofErr w:type="spellEnd"/>
            <w:r>
              <w:rPr>
                <w:rFonts w:ascii="Quicksand" w:eastAsia="Quicksand" w:hAnsi="Quicksand" w:cs="Quicksand"/>
                <w:b/>
                <w:sz w:val="19"/>
                <w:szCs w:val="19"/>
              </w:rPr>
              <w:t xml:space="preserve">. Álvarez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sz w:val="19"/>
                <w:szCs w:val="19"/>
              </w:rPr>
            </w:pPr>
            <w:r>
              <w:rPr>
                <w:rFonts w:ascii="Quicksand" w:eastAsia="Quicksand" w:hAnsi="Quicksand" w:cs="Quicksand"/>
                <w:sz w:val="19"/>
                <w:szCs w:val="19"/>
              </w:rPr>
              <w:t xml:space="preserve"> 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1"/>
                <w:szCs w:val="21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1"/>
                <w:szCs w:val="21"/>
              </w:rPr>
              <w:t xml:space="preserve">Todos los profesores 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1"/>
                <w:szCs w:val="21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1"/>
                <w:szCs w:val="21"/>
              </w:rPr>
              <w:t xml:space="preserve">Supervisores de patio 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1"/>
                <w:szCs w:val="21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1"/>
                <w:szCs w:val="21"/>
              </w:rPr>
              <w:t>Personal de cafetería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21"/>
                <w:szCs w:val="21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1"/>
                <w:szCs w:val="21"/>
              </w:rPr>
              <w:t>Custodios</w:t>
            </w:r>
          </w:p>
          <w:p w:rsidR="003B379A" w:rsidRDefault="003B379A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18"/>
                <w:szCs w:val="18"/>
              </w:rPr>
            </w:pPr>
          </w:p>
          <w:p w:rsidR="003B379A" w:rsidRDefault="00627418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color w:val="FF0000"/>
                <w:sz w:val="28"/>
                <w:szCs w:val="28"/>
              </w:rPr>
            </w:pPr>
            <w:r>
              <w:rPr>
                <w:rFonts w:ascii="Shadows Into Light" w:eastAsia="Shadows Into Light" w:hAnsi="Shadows Into Light" w:cs="Shadows Into Light"/>
                <w:b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300038" cy="300038"/>
                  <wp:effectExtent l="0" t="0" r="0" b="0"/>
                  <wp:docPr id="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8" cy="300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B379A" w:rsidRDefault="00627418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sz w:val="24"/>
                <w:szCs w:val="24"/>
                <w:u w:val="single"/>
              </w:rPr>
            </w:pPr>
            <w:r>
              <w:rPr>
                <w:rFonts w:ascii="Shadows Into Light" w:eastAsia="Shadows Into Light" w:hAnsi="Shadows Into Light" w:cs="Shadows Into Light"/>
                <w:b/>
                <w:sz w:val="24"/>
                <w:szCs w:val="24"/>
                <w:u w:val="single"/>
              </w:rPr>
              <w:t>Rincón del profesor: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sz w:val="20"/>
                <w:szCs w:val="20"/>
              </w:rPr>
            </w:pPr>
            <w:r>
              <w:rPr>
                <w:rFonts w:ascii="Shadows Into Light" w:eastAsia="Shadows Into Light" w:hAnsi="Shadows Into Light" w:cs="Shadows Into Light"/>
                <w:b/>
                <w:sz w:val="24"/>
                <w:szCs w:val="24"/>
              </w:rPr>
              <w:t xml:space="preserve"> De 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</w:rPr>
              <w:t>Señora. Oficial</w:t>
            </w:r>
            <w:r>
              <w:rPr>
                <w:rFonts w:ascii="Shadows Into Light" w:eastAsia="Shadows Into Light" w:hAnsi="Shadows Into Light" w:cs="Shadows Into Light"/>
                <w:b/>
                <w:sz w:val="24"/>
                <w:szCs w:val="24"/>
              </w:rPr>
              <w:t xml:space="preserve"> </w:t>
            </w:r>
            <w:r>
              <w:rPr>
                <w:rFonts w:ascii="Shadows Into Light" w:eastAsia="Shadows Into Light" w:hAnsi="Shadows Into Light" w:cs="Shadows Into Light"/>
                <w:b/>
                <w:sz w:val="20"/>
                <w:szCs w:val="20"/>
              </w:rPr>
              <w:t>"</w:t>
            </w:r>
            <w:r>
              <w:rPr>
                <w:rFonts w:ascii="Shadows Into Light" w:eastAsia="Shadows Into Light" w:hAnsi="Shadows Into Light" w:cs="Shadows Into Light"/>
                <w:b/>
                <w:sz w:val="20"/>
                <w:szCs w:val="20"/>
              </w:rPr>
              <w:t>¡No lo olvides!"</w:t>
            </w:r>
          </w:p>
          <w:p w:rsidR="003B379A" w:rsidRDefault="00627418">
            <w:pPr>
              <w:keepLines/>
              <w:widowControl w:val="0"/>
              <w:spacing w:line="216" w:lineRule="auto"/>
              <w:rPr>
                <w:rFonts w:ascii="Quicksand" w:eastAsia="Quicksand" w:hAnsi="Quicksand" w:cs="Quicksand"/>
                <w:b/>
                <w:sz w:val="16"/>
                <w:szCs w:val="16"/>
              </w:rPr>
            </w:pPr>
            <w:r>
              <w:rPr>
                <w:rFonts w:ascii="Shadows Into Light" w:eastAsia="Shadows Into Light" w:hAnsi="Shadows Into Light" w:cs="Shadows Into Light"/>
                <w:b/>
              </w:rPr>
              <w:t>*</w:t>
            </w:r>
            <w:r>
              <w:rPr>
                <w:rFonts w:ascii="Shadows Into Light" w:eastAsia="Shadows Into Light" w:hAnsi="Shadows Into Light" w:cs="Shadows Into Light"/>
                <w:b/>
                <w:sz w:val="18"/>
                <w:szCs w:val="18"/>
              </w:rPr>
              <w:t>Las juntas de la feria de ciencias deben presentarse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8"/>
                <w:szCs w:val="18"/>
                <w:u w:val="single"/>
              </w:rPr>
              <w:t>18 de octubre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6"/>
                <w:szCs w:val="16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18"/>
                <w:szCs w:val="18"/>
              </w:rPr>
              <w:t xml:space="preserve">*El concurso de la Feria de Ciencias de Lincoln es </w:t>
            </w:r>
            <w:r>
              <w:rPr>
                <w:rFonts w:ascii="Shadows Into Light" w:eastAsia="Shadows Into Light" w:hAnsi="Shadows Into Light" w:cs="Shadows Into Light"/>
                <w:b/>
                <w:sz w:val="18"/>
                <w:szCs w:val="18"/>
                <w:u w:val="single"/>
              </w:rPr>
              <w:t>Nov. 5to</w:t>
            </w:r>
            <w:r>
              <w:rPr>
                <w:rFonts w:ascii="Shadows Into Light" w:eastAsia="Shadows Into Light" w:hAnsi="Shadows Into Light" w:cs="Shadows Into Light"/>
                <w:b/>
                <w:sz w:val="18"/>
                <w:szCs w:val="18"/>
              </w:rPr>
              <w:t>!</w:t>
            </w: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16"/>
                <w:szCs w:val="16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sz w:val="24"/>
                <w:szCs w:val="24"/>
              </w:rPr>
            </w:pP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79A" w:rsidRDefault="00627418">
            <w:pPr>
              <w:widowControl w:val="0"/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b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</w:rPr>
              <w:t>Ayudándote con…</w:t>
            </w:r>
            <w:r>
              <w:rPr>
                <w:rFonts w:ascii="Shadows Into Light" w:eastAsia="Shadows Into Light" w:hAnsi="Shadows Into Light" w:cs="Shadows Into Light"/>
                <w:b/>
              </w:rPr>
              <w:t>Preparación y organización</w:t>
            </w:r>
          </w:p>
          <w:p w:rsidR="003B379A" w:rsidRDefault="003B379A">
            <w:pPr>
              <w:widowControl w:val="0"/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b/>
              </w:rPr>
            </w:pPr>
          </w:p>
          <w:p w:rsidR="003B379A" w:rsidRDefault="00627418">
            <w:pPr>
              <w:widowControl w:val="0"/>
              <w:spacing w:line="204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b/>
                <w:sz w:val="20"/>
                <w:szCs w:val="20"/>
              </w:rPr>
              <w:t>Los estudiantes vienen preparados con materiales y están listos para participar con el trabajo completado.</w:t>
            </w:r>
          </w:p>
          <w:p w:rsidR="003B379A" w:rsidRDefault="003B379A">
            <w:pPr>
              <w:widowControl w:val="0"/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b/>
                <w:color w:val="FF0000"/>
                <w:sz w:val="24"/>
                <w:szCs w:val="24"/>
              </w:rPr>
            </w:pPr>
          </w:p>
          <w:p w:rsidR="003B379A" w:rsidRDefault="00627418">
            <w:pPr>
              <w:jc w:val="center"/>
              <w:rPr>
                <w:b/>
                <w:sz w:val="20"/>
                <w:szCs w:val="20"/>
              </w:rPr>
            </w:pPr>
            <w:bookmarkStart w:id="2" w:name="_gjdgxs" w:colFirst="0" w:colLast="0"/>
            <w:bookmarkEnd w:id="2"/>
            <w:r>
              <w:rPr>
                <w:b/>
                <w:sz w:val="24"/>
                <w:szCs w:val="24"/>
              </w:rPr>
              <w:t>Toma de notas enfocada</w:t>
            </w:r>
          </w:p>
          <w:p w:rsidR="003B379A" w:rsidRDefault="00627418">
            <w:pPr>
              <w:numPr>
                <w:ilvl w:val="0"/>
                <w:numId w:val="4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 xml:space="preserve">Un proceso estructurado de registro, revisión y revisión de información. </w:t>
            </w:r>
          </w:p>
          <w:p w:rsidR="003B379A" w:rsidRDefault="00627418">
            <w:pPr>
              <w:numPr>
                <w:ilvl w:val="0"/>
                <w:numId w:val="4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 xml:space="preserve">Incluye una pregunta esencial, una sección de notas, un margen para preguntas de nivel superior y un resumen que responde en detalle todas las partes de la pregunta esencial. </w:t>
            </w:r>
          </w:p>
          <w:p w:rsidR="003B379A" w:rsidRDefault="003B379A">
            <w:pPr>
              <w:rPr>
                <w:rFonts w:ascii="Quicksand" w:eastAsia="Quicksand" w:hAnsi="Quicksand" w:cs="Quicksand"/>
                <w:b/>
                <w:sz w:val="10"/>
                <w:szCs w:val="10"/>
              </w:rPr>
            </w:pPr>
          </w:p>
          <w:p w:rsidR="003B379A" w:rsidRDefault="003B379A">
            <w:pPr>
              <w:rPr>
                <w:rFonts w:ascii="Quicksand" w:eastAsia="Quicksand" w:hAnsi="Quicksand" w:cs="Quicksand"/>
                <w:b/>
                <w:sz w:val="10"/>
                <w:szCs w:val="10"/>
              </w:rPr>
            </w:pPr>
          </w:p>
          <w:p w:rsidR="003B379A" w:rsidRDefault="00627418">
            <w:p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Utilice la estrategia S.T.A.R para desarrollar notas efectivas.</w:t>
            </w:r>
          </w:p>
          <w:p w:rsidR="003B379A" w:rsidRDefault="003B379A">
            <w:p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</w:p>
          <w:p w:rsidR="003B379A" w:rsidRDefault="00627418">
            <w:pPr>
              <w:jc w:val="center"/>
              <w:rPr>
                <w:rFonts w:ascii="Quicksand" w:eastAsia="Quicksand" w:hAnsi="Quicksand" w:cs="Quicksand"/>
                <w:b/>
                <w:sz w:val="10"/>
                <w:szCs w:val="10"/>
              </w:rPr>
            </w:pPr>
            <w:proofErr w:type="spellStart"/>
            <w:r>
              <w:rPr>
                <w:rFonts w:ascii="Quicksand" w:eastAsia="Quicksand" w:hAnsi="Quicksand" w:cs="Quicksand"/>
                <w:b/>
                <w:sz w:val="36"/>
                <w:szCs w:val="36"/>
              </w:rPr>
              <w:t>S</w:t>
            </w:r>
            <w:r>
              <w:rPr>
                <w:rFonts w:ascii="Quicksand" w:eastAsia="Quicksand" w:hAnsi="Quicksand" w:cs="Quicksand"/>
                <w:b/>
                <w:sz w:val="10"/>
                <w:szCs w:val="10"/>
              </w:rPr>
              <w:t>etup</w:t>
            </w:r>
            <w:r>
              <w:rPr>
                <w:rFonts w:ascii="Quicksand" w:eastAsia="Quicksand" w:hAnsi="Quicksand" w:cs="Quicksand"/>
                <w:b/>
                <w:sz w:val="36"/>
                <w:szCs w:val="36"/>
              </w:rPr>
              <w:t>t</w:t>
            </w:r>
            <w:r>
              <w:rPr>
                <w:rFonts w:ascii="Quicksand" w:eastAsia="Quicksand" w:hAnsi="Quicksand" w:cs="Quicksand"/>
                <w:b/>
                <w:sz w:val="10"/>
                <w:szCs w:val="10"/>
              </w:rPr>
              <w:t>más</w:t>
            </w:r>
            <w:proofErr w:type="spellEnd"/>
            <w:r>
              <w:rPr>
                <w:rFonts w:ascii="Quicksand" w:eastAsia="Quicksand" w:hAnsi="Quicksand" w:cs="Quicksand"/>
                <w:b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b/>
                <w:sz w:val="36"/>
                <w:szCs w:val="36"/>
              </w:rPr>
              <w:t>A</w:t>
            </w:r>
            <w:r>
              <w:rPr>
                <w:rFonts w:ascii="Quicksand" w:eastAsia="Quicksand" w:hAnsi="Quicksand" w:cs="Quicksand"/>
                <w:b/>
                <w:sz w:val="10"/>
                <w:szCs w:val="10"/>
              </w:rPr>
              <w:t>dd</w:t>
            </w:r>
            <w:proofErr w:type="spellEnd"/>
            <w:r>
              <w:rPr>
                <w:rFonts w:ascii="Quicksand" w:eastAsia="Quicksand" w:hAnsi="Quicksand" w:cs="Quicksand"/>
                <w:b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Quicksand" w:eastAsia="Quicksand" w:hAnsi="Quicksand" w:cs="Quicksand"/>
                <w:b/>
                <w:sz w:val="36"/>
                <w:szCs w:val="36"/>
              </w:rPr>
              <w:t>R</w:t>
            </w:r>
            <w:r>
              <w:rPr>
                <w:rFonts w:ascii="Quicksand" w:eastAsia="Quicksand" w:hAnsi="Quicksand" w:cs="Quicksand"/>
                <w:b/>
                <w:sz w:val="10"/>
                <w:szCs w:val="10"/>
              </w:rPr>
              <w:t>revisión</w:t>
            </w:r>
            <w:proofErr w:type="spellEnd"/>
            <w:r>
              <w:rPr>
                <w:rFonts w:ascii="Quicksand" w:eastAsia="Quicksand" w:hAnsi="Quicksand" w:cs="Quicksand"/>
                <w:b/>
                <w:sz w:val="10"/>
                <w:szCs w:val="10"/>
              </w:rPr>
              <w:t xml:space="preserve"> </w:t>
            </w:r>
          </w:p>
          <w:p w:rsidR="003B379A" w:rsidRDefault="003B379A">
            <w:pPr>
              <w:jc w:val="center"/>
              <w:rPr>
                <w:rFonts w:ascii="Quicksand" w:eastAsia="Quicksand" w:hAnsi="Quicksand" w:cs="Quicksand"/>
                <w:b/>
                <w:sz w:val="10"/>
                <w:szCs w:val="10"/>
              </w:rPr>
            </w:pPr>
          </w:p>
          <w:p w:rsidR="003B379A" w:rsidRDefault="00627418">
            <w:pPr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Nivel 1: Lápiz (ST de STAR)</w:t>
            </w:r>
          </w:p>
          <w:p w:rsidR="003B379A" w:rsidRDefault="00627418">
            <w:pPr>
              <w:numPr>
                <w:ilvl w:val="0"/>
                <w:numId w:val="7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Contenido entregado por el maestro</w:t>
            </w:r>
          </w:p>
          <w:p w:rsidR="003B379A" w:rsidRDefault="00627418">
            <w:pPr>
              <w:numPr>
                <w:ilvl w:val="0"/>
                <w:numId w:val="7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Información de un texto</w:t>
            </w:r>
          </w:p>
          <w:p w:rsidR="003B379A" w:rsidRDefault="00627418">
            <w:pPr>
              <w:numPr>
                <w:ilvl w:val="0"/>
                <w:numId w:val="7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Colaboración grabada</w:t>
            </w:r>
          </w:p>
          <w:p w:rsidR="003B379A" w:rsidRDefault="003B379A">
            <w:pPr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</w:p>
          <w:p w:rsidR="003B379A" w:rsidRDefault="00627418">
            <w:pPr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Nivel 2: Resaltador (T de STAR)</w:t>
            </w:r>
          </w:p>
          <w:p w:rsidR="003B379A" w:rsidRDefault="00627418">
            <w:pPr>
              <w:numPr>
                <w:ilvl w:val="0"/>
                <w:numId w:val="5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Términos clave</w:t>
            </w:r>
          </w:p>
          <w:p w:rsidR="003B379A" w:rsidRDefault="00627418">
            <w:pPr>
              <w:numPr>
                <w:ilvl w:val="0"/>
                <w:numId w:val="5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Puntos de estudio</w:t>
            </w:r>
          </w:p>
          <w:p w:rsidR="003B379A" w:rsidRDefault="00627418">
            <w:pPr>
              <w:numPr>
                <w:ilvl w:val="0"/>
                <w:numId w:val="5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Detalles importantes</w:t>
            </w:r>
          </w:p>
          <w:p w:rsidR="003B379A" w:rsidRDefault="003B379A">
            <w:pPr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</w:p>
          <w:p w:rsidR="003B379A" w:rsidRDefault="00627418">
            <w:pPr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Nivel 3: Bolígrafo (AR de STAR)</w:t>
            </w:r>
          </w:p>
          <w:p w:rsidR="003B379A" w:rsidRDefault="00627418">
            <w:pPr>
              <w:numPr>
                <w:ilvl w:val="0"/>
                <w:numId w:val="3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Agregar ejemplos</w:t>
            </w:r>
          </w:p>
          <w:p w:rsidR="003B379A" w:rsidRDefault="00627418">
            <w:pPr>
              <w:numPr>
                <w:ilvl w:val="0"/>
                <w:numId w:val="3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Preguntas</w:t>
            </w:r>
          </w:p>
          <w:p w:rsidR="003B379A" w:rsidRDefault="00627418">
            <w:pPr>
              <w:numPr>
                <w:ilvl w:val="0"/>
                <w:numId w:val="3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Explicaciones</w:t>
            </w:r>
          </w:p>
          <w:p w:rsidR="003B379A" w:rsidRDefault="00627418">
            <w:pPr>
              <w:numPr>
                <w:ilvl w:val="0"/>
                <w:numId w:val="3"/>
              </w:numPr>
              <w:rPr>
                <w:rFonts w:ascii="Quicksand" w:eastAsia="Quicksand" w:hAnsi="Quicksand" w:cs="Quicksand"/>
                <w:b/>
                <w:sz w:val="14"/>
                <w:szCs w:val="14"/>
              </w:rPr>
            </w:pPr>
            <w:r>
              <w:rPr>
                <w:rFonts w:ascii="Quicksand" w:eastAsia="Quicksand" w:hAnsi="Quicksand" w:cs="Quicksand"/>
                <w:b/>
                <w:sz w:val="14"/>
                <w:szCs w:val="14"/>
              </w:rPr>
              <w:t>información adicional</w:t>
            </w:r>
          </w:p>
          <w:p w:rsidR="003B379A" w:rsidRDefault="00627418">
            <w:pPr>
              <w:ind w:left="144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32"/>
                <w:szCs w:val="32"/>
              </w:rPr>
              <w:t xml:space="preserve">  </w:t>
            </w:r>
            <w:r>
              <w:rPr>
                <w:rFonts w:ascii="Quicksand" w:eastAsia="Quicksand" w:hAnsi="Quicksand" w:cs="Quicksand"/>
                <w:b/>
                <w:sz w:val="26"/>
                <w:szCs w:val="26"/>
              </w:rPr>
              <w:t xml:space="preserve">         </w:t>
            </w: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  <w:p w:rsidR="003B379A" w:rsidRDefault="00627418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  <w:r>
              <w:rPr>
                <w:rFonts w:ascii="Shadows Into Light" w:eastAsia="Shadows Into Light" w:hAnsi="Shadows Into Light" w:cs="Shadows Into Light"/>
                <w:b/>
                <w:sz w:val="24"/>
                <w:szCs w:val="24"/>
              </w:rPr>
              <w:t xml:space="preserve">  </w:t>
            </w: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sz w:val="20"/>
                <w:szCs w:val="2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FF0000"/>
                <w:sz w:val="30"/>
                <w:szCs w:val="30"/>
              </w:rPr>
            </w:pP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79A" w:rsidRDefault="00627418">
            <w:pPr>
              <w:widowControl w:val="0"/>
              <w:spacing w:line="180" w:lineRule="auto"/>
              <w:jc w:val="center"/>
              <w:rPr>
                <w:rFonts w:ascii="Shadows Into Light" w:eastAsia="Shadows Into Light" w:hAnsi="Shadows Into Light" w:cs="Shadows Into Light"/>
                <w:b/>
                <w:color w:val="FF0000"/>
                <w:sz w:val="34"/>
                <w:szCs w:val="34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34"/>
                <w:szCs w:val="34"/>
              </w:rPr>
              <w:t>Asistencia:</w:t>
            </w:r>
          </w:p>
          <w:p w:rsidR="003B379A" w:rsidRDefault="00627418">
            <w:pPr>
              <w:widowControl w:val="0"/>
              <w:spacing w:line="180" w:lineRule="auto"/>
              <w:rPr>
                <w:rFonts w:ascii="Quicksand" w:eastAsia="Quicksand" w:hAnsi="Quicksand" w:cs="Quicksand"/>
                <w:b/>
              </w:rPr>
            </w:pPr>
            <w:r>
              <w:rPr>
                <w:rFonts w:ascii="Quicksand" w:eastAsia="Quicksand" w:hAnsi="Quicksand" w:cs="Quicksand"/>
                <w:b/>
              </w:rPr>
              <w:t>Ayude a su adolescente a mantenerse comprometido:</w:t>
            </w:r>
          </w:p>
          <w:p w:rsidR="003B379A" w:rsidRDefault="003B379A">
            <w:pPr>
              <w:widowControl w:val="0"/>
              <w:spacing w:line="180" w:lineRule="auto"/>
              <w:rPr>
                <w:rFonts w:ascii="Quicksand" w:eastAsia="Quicksand" w:hAnsi="Quicksand" w:cs="Quicksand"/>
              </w:rPr>
            </w:pPr>
          </w:p>
          <w:p w:rsidR="003B379A" w:rsidRDefault="00627418">
            <w:pPr>
              <w:widowControl w:val="0"/>
              <w:spacing w:line="204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Descubra si sus hijos se sienten comprometidos con sus clases y se sienten seguros frente a los matones y otras amenazas.</w:t>
            </w:r>
          </w:p>
          <w:p w:rsidR="003B379A" w:rsidRDefault="003B379A">
            <w:pPr>
              <w:widowControl w:val="0"/>
              <w:spacing w:line="204" w:lineRule="auto"/>
              <w:rPr>
                <w:rFonts w:ascii="Quicksand" w:eastAsia="Quicksand" w:hAnsi="Quicksand" w:cs="Quicksand"/>
              </w:rPr>
            </w:pPr>
          </w:p>
          <w:p w:rsidR="003B379A" w:rsidRDefault="00627418">
            <w:pPr>
              <w:widowControl w:val="0"/>
              <w:spacing w:line="204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 xml:space="preserve"> •Asegúrese de que sus hijos adolescentes no falten a clases debido a problemas de conducta o políticas de disciplina escolar. Si alg</w:t>
            </w:r>
            <w:r>
              <w:rPr>
                <w:rFonts w:ascii="Quicksand" w:eastAsia="Quicksand" w:hAnsi="Quicksand" w:cs="Quicksand"/>
              </w:rPr>
              <w:t xml:space="preserve">uno de estos es un problema, comuníquese con la escuela y trabaje con ellos para encontrar una solución. •Supervise el progreso académico de su hijo adolescente y busque ayuda de maestros o tutores cuando sea necesario. Asegúrese de que los maestros sepan </w:t>
            </w:r>
            <w:r>
              <w:rPr>
                <w:rFonts w:ascii="Quicksand" w:eastAsia="Quicksand" w:hAnsi="Quicksand" w:cs="Quicksand"/>
              </w:rPr>
              <w:t>cómo comunicarse con usted. •Manténgase al tanto de los contactos sociales de su hijo. La presión de grupo puede llevar a faltar a la escuela, mientras que los estudiantes sin muchos amigos pueden sentirse aislados. • Anime a su hijo adolescente a particip</w:t>
            </w:r>
            <w:r>
              <w:rPr>
                <w:rFonts w:ascii="Quicksand" w:eastAsia="Quicksand" w:hAnsi="Quicksand" w:cs="Quicksand"/>
              </w:rPr>
              <w:t>ar en actividades extraescolares significativas.</w:t>
            </w:r>
          </w:p>
          <w:p w:rsidR="003B379A" w:rsidRDefault="003B379A">
            <w:pPr>
              <w:widowControl w:val="0"/>
              <w:spacing w:line="204" w:lineRule="auto"/>
              <w:rPr>
                <w:rFonts w:ascii="Quicksand" w:eastAsia="Quicksand" w:hAnsi="Quicksand" w:cs="Quicksand"/>
              </w:rPr>
            </w:pPr>
          </w:p>
          <w:p w:rsidR="003B379A" w:rsidRDefault="003B379A">
            <w:pPr>
              <w:widowControl w:val="0"/>
              <w:spacing w:line="204" w:lineRule="auto"/>
              <w:jc w:val="center"/>
              <w:rPr>
                <w:rFonts w:ascii="Quicksand" w:eastAsia="Quicksand" w:hAnsi="Quicksand" w:cs="Quicksand"/>
              </w:rPr>
            </w:pPr>
          </w:p>
        </w:tc>
      </w:tr>
    </w:tbl>
    <w:p w:rsidR="003B379A" w:rsidRDefault="00627418">
      <w:pPr>
        <w:rPr>
          <w:rFonts w:ascii="Shadows Into Light" w:eastAsia="Shadows Into Light" w:hAnsi="Shadows Into Light" w:cs="Shadows Into Light"/>
          <w:color w:val="FF0000"/>
          <w:sz w:val="18"/>
          <w:szCs w:val="18"/>
        </w:rPr>
      </w:pPr>
      <w:r>
        <w:rPr>
          <w:rFonts w:ascii="Shadows Into Light" w:eastAsia="Shadows Into Light" w:hAnsi="Shadows Into Light" w:cs="Shadows Into Light"/>
          <w:noProof/>
          <w:color w:val="FF0000"/>
          <w:sz w:val="18"/>
          <w:szCs w:val="18"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page">
              <wp:posOffset>4410075</wp:posOffset>
            </wp:positionH>
            <wp:positionV relativeFrom="page">
              <wp:posOffset>7159964</wp:posOffset>
            </wp:positionV>
            <wp:extent cx="3024188" cy="1933575"/>
            <wp:effectExtent l="0" t="0" r="0" b="0"/>
            <wp:wrapSquare wrapText="bothSides" distT="114300" distB="11430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193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12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5535"/>
      </w:tblGrid>
      <w:tr w:rsidR="003B379A">
        <w:trPr>
          <w:trHeight w:val="8761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79A" w:rsidRDefault="00627418">
            <w:pPr>
              <w:widowControl w:val="0"/>
              <w:spacing w:line="180" w:lineRule="auto"/>
              <w:rPr>
                <w:rFonts w:ascii="Shadows Into Light" w:eastAsia="Shadows Into Light" w:hAnsi="Shadows Into Light" w:cs="Shadows Into Light"/>
                <w:b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36"/>
                <w:szCs w:val="36"/>
              </w:rPr>
              <w:lastRenderedPageBreak/>
              <w:t xml:space="preserve">Septiembre </w:t>
            </w:r>
            <w:r>
              <w:rPr>
                <w:rFonts w:ascii="Shadows Into Light" w:eastAsia="Shadows Into Light" w:hAnsi="Shadows Into Light" w:cs="Shadows Into Light"/>
                <w:b/>
                <w:sz w:val="36"/>
                <w:szCs w:val="36"/>
              </w:rPr>
              <w:t>CELÚLA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36"/>
                <w:szCs w:val="36"/>
              </w:rPr>
              <w:t xml:space="preserve"> Destacar: </w:t>
            </w:r>
            <w:r>
              <w:rPr>
                <w:rFonts w:ascii="Shadows Into Light" w:eastAsia="Shadows Into Light" w:hAnsi="Shadows Into Light" w:cs="Shadows Into Light"/>
                <w:b/>
                <w:sz w:val="36"/>
                <w:szCs w:val="36"/>
              </w:rPr>
              <w:t>Autogestión</w:t>
            </w:r>
          </w:p>
          <w:p w:rsidR="003B379A" w:rsidRDefault="003B379A">
            <w:pPr>
              <w:widowControl w:val="0"/>
              <w:spacing w:line="180" w:lineRule="auto"/>
              <w:rPr>
                <w:rFonts w:ascii="Shadows Into Light" w:eastAsia="Shadows Into Light" w:hAnsi="Shadows Into Light" w:cs="Shadows Into Light"/>
                <w:b/>
                <w:sz w:val="36"/>
                <w:szCs w:val="36"/>
              </w:rPr>
            </w:pPr>
          </w:p>
          <w:p w:rsidR="003B379A" w:rsidRDefault="00627418">
            <w:pPr>
              <w:widowControl w:val="0"/>
              <w:shd w:val="clear" w:color="auto" w:fill="FFFFFF"/>
              <w:spacing w:after="160" w:line="320" w:lineRule="auto"/>
              <w:ind w:right="100"/>
              <w:jc w:val="center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 xml:space="preserve">Las habilidades de autogestión incluyen: </w:t>
            </w:r>
          </w:p>
          <w:p w:rsidR="003B379A" w:rsidRDefault="00627418">
            <w:pPr>
              <w:widowControl w:val="0"/>
              <w:numPr>
                <w:ilvl w:val="0"/>
                <w:numId w:val="6"/>
              </w:numPr>
              <w:spacing w:before="160" w:line="330" w:lineRule="auto"/>
              <w:ind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Autoconciencia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>: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 Identificar emociones, reflexionar sobre las elecciones y considerar el impacto de las acciones en uno mismo y en los demás. </w:t>
            </w:r>
          </w:p>
          <w:p w:rsidR="003B379A" w:rsidRDefault="00627418">
            <w:pPr>
              <w:widowControl w:val="0"/>
              <w:numPr>
                <w:ilvl w:val="0"/>
                <w:numId w:val="6"/>
              </w:numPr>
              <w:spacing w:line="330" w:lineRule="auto"/>
              <w:ind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Autocontrol: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 Crear una rutina diaria que incluya tiempo para la tarea, relajación y actividades extracurriculares. </w:t>
            </w:r>
          </w:p>
          <w:p w:rsidR="003B379A" w:rsidRDefault="00627418">
            <w:pPr>
              <w:widowControl w:val="0"/>
              <w:numPr>
                <w:ilvl w:val="0"/>
                <w:numId w:val="6"/>
              </w:numPr>
              <w:spacing w:line="330" w:lineRule="auto"/>
              <w:ind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 xml:space="preserve">Manejo del estrés: 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Usar estrategias para manejar el estrés </w:t>
            </w:r>
          </w:p>
          <w:p w:rsidR="003B379A" w:rsidRDefault="00627418">
            <w:pPr>
              <w:widowControl w:val="0"/>
              <w:numPr>
                <w:ilvl w:val="0"/>
                <w:numId w:val="6"/>
              </w:numPr>
              <w:spacing w:line="330" w:lineRule="auto"/>
              <w:ind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Establecimiento de objetivos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: Establecer objetivos personales y colectivos. </w:t>
            </w:r>
          </w:p>
          <w:p w:rsidR="003B379A" w:rsidRDefault="00627418">
            <w:pPr>
              <w:widowControl w:val="0"/>
              <w:numPr>
                <w:ilvl w:val="0"/>
                <w:numId w:val="6"/>
              </w:numPr>
              <w:spacing w:line="330" w:lineRule="auto"/>
              <w:ind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Planificación y organización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: Utilizar habilidades de planificación y organización. </w:t>
            </w:r>
          </w:p>
          <w:p w:rsidR="003B379A" w:rsidRDefault="00627418">
            <w:pPr>
              <w:widowControl w:val="0"/>
              <w:numPr>
                <w:ilvl w:val="0"/>
                <w:numId w:val="6"/>
              </w:numPr>
              <w:spacing w:line="330" w:lineRule="auto"/>
              <w:ind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 xml:space="preserve">Iniciativa: 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>Tomar iniciativa y mos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trar valentía </w:t>
            </w:r>
          </w:p>
          <w:p w:rsidR="003B379A" w:rsidRDefault="00627418">
            <w:pPr>
              <w:widowControl w:val="0"/>
              <w:numPr>
                <w:ilvl w:val="0"/>
                <w:numId w:val="6"/>
              </w:numPr>
              <w:spacing w:line="330" w:lineRule="auto"/>
              <w:ind w:right="100"/>
              <w:jc w:val="center"/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 xml:space="preserve">Comentarios: utilizar los comentarios de forma constructiva </w:t>
            </w:r>
          </w:p>
          <w:p w:rsidR="003B379A" w:rsidRDefault="00627418">
            <w:pPr>
              <w:widowControl w:val="0"/>
              <w:numPr>
                <w:ilvl w:val="0"/>
                <w:numId w:val="6"/>
              </w:numPr>
              <w:spacing w:after="300" w:line="330" w:lineRule="auto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Autocompasión: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 Practicando la autocompasión </w:t>
            </w:r>
          </w:p>
          <w:p w:rsidR="003B379A" w:rsidRDefault="00627418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323232"/>
                <w:sz w:val="28"/>
                <w:szCs w:val="28"/>
              </w:rPr>
            </w:pPr>
            <w:proofErr w:type="gramStart"/>
            <w:r>
              <w:rPr>
                <w:rFonts w:ascii="Shadows Into Light" w:eastAsia="Shadows Into Light" w:hAnsi="Shadows Into Light" w:cs="Shadows Into Light"/>
                <w:b/>
                <w:color w:val="323232"/>
                <w:sz w:val="28"/>
                <w:szCs w:val="28"/>
              </w:rPr>
              <w:t>septiembre</w:t>
            </w:r>
            <w:proofErr w:type="gramEnd"/>
            <w:r>
              <w:rPr>
                <w:rFonts w:ascii="Shadows Into Light" w:eastAsia="Shadows Into Light" w:hAnsi="Shadows Into Light" w:cs="Shadows Into Light"/>
                <w:b/>
                <w:color w:val="323232"/>
                <w:sz w:val="28"/>
                <w:szCs w:val="28"/>
              </w:rPr>
              <w:t xml:space="preserve"> es </w:t>
            </w:r>
            <w:r>
              <w:rPr>
                <w:rFonts w:ascii="Shadows Into Light" w:eastAsia="Shadows Into Light" w:hAnsi="Shadows Into Light" w:cs="Shadows Into Light"/>
                <w:b/>
                <w:color w:val="323232"/>
                <w:sz w:val="28"/>
                <w:szCs w:val="28"/>
                <w:u w:val="single"/>
              </w:rPr>
              <w:t>también</w:t>
            </w:r>
            <w:r>
              <w:rPr>
                <w:rFonts w:ascii="Shadows Into Light" w:eastAsia="Shadows Into Light" w:hAnsi="Shadows Into Light" w:cs="Shadows Into Light"/>
                <w:b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28"/>
                <w:szCs w:val="28"/>
              </w:rPr>
              <w:t>un mes de superación personal</w:t>
            </w:r>
            <w:r>
              <w:rPr>
                <w:rFonts w:ascii="Shadows Into Light" w:eastAsia="Shadows Into Light" w:hAnsi="Shadows Into Light" w:cs="Shadows Into Light"/>
                <w:b/>
                <w:color w:val="323232"/>
                <w:sz w:val="28"/>
                <w:szCs w:val="28"/>
              </w:rPr>
              <w:t>!</w:t>
            </w:r>
          </w:p>
          <w:p w:rsidR="003B379A" w:rsidRDefault="003B379A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323232"/>
                <w:sz w:val="28"/>
                <w:szCs w:val="28"/>
              </w:rPr>
            </w:pPr>
          </w:p>
          <w:p w:rsidR="003B379A" w:rsidRDefault="00627418">
            <w:pPr>
              <w:widowControl w:val="0"/>
              <w:shd w:val="clear" w:color="auto" w:fill="FFFFFF"/>
              <w:spacing w:after="160" w:line="240" w:lineRule="auto"/>
              <w:ind w:right="100"/>
              <w:jc w:val="center"/>
              <w:rPr>
                <w:rFonts w:ascii="Quicksand" w:eastAsia="Quicksand" w:hAnsi="Quicksand" w:cs="Quicksand"/>
                <w:b/>
                <w:sz w:val="17"/>
                <w:szCs w:val="17"/>
              </w:rPr>
            </w:pPr>
            <w:r>
              <w:rPr>
                <w:rFonts w:ascii="Quicksand" w:eastAsia="Quicksand" w:hAnsi="Quicksand" w:cs="Quicksand"/>
                <w:b/>
                <w:sz w:val="17"/>
                <w:szCs w:val="17"/>
              </w:rPr>
              <w:t>Los estudiantes de secundaria pueden mejorar de muchas maneras, incluido el cuida</w:t>
            </w:r>
            <w:r>
              <w:rPr>
                <w:rFonts w:ascii="Quicksand" w:eastAsia="Quicksand" w:hAnsi="Quicksand" w:cs="Quicksand"/>
                <w:b/>
                <w:sz w:val="17"/>
                <w:szCs w:val="17"/>
              </w:rPr>
              <w:t xml:space="preserve">do personal, la </w:t>
            </w:r>
            <w:proofErr w:type="spellStart"/>
            <w:r>
              <w:rPr>
                <w:rFonts w:ascii="Quicksand" w:eastAsia="Quicksand" w:hAnsi="Quicksand" w:cs="Quicksand"/>
                <w:b/>
                <w:sz w:val="17"/>
                <w:szCs w:val="17"/>
              </w:rPr>
              <w:t>autoaceptación</w:t>
            </w:r>
            <w:proofErr w:type="spellEnd"/>
            <w:r>
              <w:rPr>
                <w:rFonts w:ascii="Quicksand" w:eastAsia="Quicksand" w:hAnsi="Quicksand" w:cs="Quicksand"/>
                <w:b/>
                <w:sz w:val="17"/>
                <w:szCs w:val="17"/>
              </w:rPr>
              <w:t xml:space="preserve">, la autodefensa y el establecimiento de metas: </w:t>
            </w:r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before="160" w:line="240" w:lineRule="auto"/>
              <w:ind w:left="300"/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Cuidados personales</w:t>
            </w:r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line="240" w:lineRule="auto"/>
              <w:ind w:left="300"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>Los estudiantes pueden cuidarse a sí mismos durmiendo lo suficiente, comiendo bien, haciendo ejercicio con regularidad y tomando descansos. También pueden practicar la atención plena, dedicarse a pasatiempos y buscar el apoyo de amigos, familiares o un pro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fesional de la salud mental. </w:t>
            </w:r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line="240" w:lineRule="auto"/>
              <w:ind w:left="300"/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Autoaceptación</w:t>
            </w:r>
            <w:proofErr w:type="spellEnd"/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line="240" w:lineRule="auto"/>
              <w:ind w:left="300"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>Los estudiantes pueden aprender a aceptarse a sí mismos examinando sus fortalezas y debilidades con amor propio y aceptación. Pueden aprender a abordar las debilidades sin ser demasiado críticos consigo mismos y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 que su valor no depende de sus éxitos o fracasos. </w:t>
            </w:r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line="240" w:lineRule="auto"/>
              <w:ind w:left="300"/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Autodefensa</w:t>
            </w:r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line="240" w:lineRule="auto"/>
              <w:ind w:left="300"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>Los estudiantes pueden aprender a defenderse a sí mismos, lo que puede ayudarlos a ganar confianza en sus habilidades y reconocer sus fortalezas y logros. Esto puede conducir a una mayor autoe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stima e impactar positivamente en su bienestar general. </w:t>
            </w:r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line="240" w:lineRule="auto"/>
              <w:ind w:left="300"/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Establecimiento de objetivos</w:t>
            </w:r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line="227" w:lineRule="auto"/>
              <w:ind w:left="300"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>Los estudiantes pueden establecer metas que les ayuden a observar su propio comportamiento y señalar áreas de mejora. Esto puede ser una parte importante de la autorregul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ación y puede ayudarlos a prepararse para resolver problemas académicos y personales complejos en el futuro. </w:t>
            </w:r>
          </w:p>
          <w:p w:rsidR="003B379A" w:rsidRDefault="00627418">
            <w:pPr>
              <w:widowControl w:val="0"/>
              <w:numPr>
                <w:ilvl w:val="0"/>
                <w:numId w:val="2"/>
              </w:numPr>
              <w:spacing w:line="227" w:lineRule="auto"/>
              <w:ind w:left="300" w:right="100"/>
              <w:jc w:val="center"/>
              <w:rPr>
                <w:rFonts w:ascii="Quicksand" w:eastAsia="Quicksand" w:hAnsi="Quicksand" w:cs="Quicksand"/>
                <w:b/>
                <w:color w:val="000000"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Otras formas de ayudar a los estudiantes de secundaria a mejorar incluyen:</w:t>
            </w:r>
            <w:r>
              <w:rPr>
                <w:rFonts w:ascii="Quicksand" w:eastAsia="Quicksand" w:hAnsi="Quicksand" w:cs="Quicksand"/>
                <w:b/>
                <w:color w:val="FF0000"/>
                <w:sz w:val="17"/>
                <w:szCs w:val="17"/>
              </w:rPr>
              <w:t xml:space="preserve"> </w:t>
            </w:r>
          </w:p>
          <w:p w:rsidR="003B379A" w:rsidRDefault="00627418">
            <w:pPr>
              <w:widowControl w:val="0"/>
              <w:numPr>
                <w:ilvl w:val="0"/>
                <w:numId w:val="1"/>
              </w:numPr>
              <w:spacing w:line="227" w:lineRule="auto"/>
              <w:ind w:left="300"/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Trabajando a través de errores</w:t>
            </w:r>
          </w:p>
          <w:p w:rsidR="003B379A" w:rsidRDefault="00627418">
            <w:pPr>
              <w:widowControl w:val="0"/>
              <w:numPr>
                <w:ilvl w:val="0"/>
                <w:numId w:val="1"/>
              </w:numPr>
              <w:spacing w:line="240" w:lineRule="auto"/>
              <w:ind w:left="300"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Los estudiantes pueden concentrarse en 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mejorar y hacer lo mejor que puedan, incluso si no son los mejores. Los profesores pueden valorar sus aportaciones y permitirles demostrar sus habilidades de diversas formas. </w:t>
            </w:r>
          </w:p>
          <w:p w:rsidR="003B379A" w:rsidRDefault="00627418">
            <w:pPr>
              <w:widowControl w:val="0"/>
              <w:numPr>
                <w:ilvl w:val="0"/>
                <w:numId w:val="1"/>
              </w:numPr>
              <w:spacing w:line="240" w:lineRule="auto"/>
              <w:ind w:left="300"/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>Centrándose en las fortalezas</w:t>
            </w:r>
          </w:p>
          <w:p w:rsidR="003B379A" w:rsidRDefault="00627418">
            <w:pPr>
              <w:widowControl w:val="0"/>
              <w:numPr>
                <w:ilvl w:val="0"/>
                <w:numId w:val="1"/>
              </w:numPr>
              <w:ind w:left="300" w:right="100"/>
              <w:jc w:val="center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 xml:space="preserve">Los profesores pueden prestar atención a lo que los estudiantes hacen bien y disfrutan, y asegurarse de que tengan oportunidades de desarrollar esas cosas. </w:t>
            </w:r>
          </w:p>
          <w:p w:rsidR="003B379A" w:rsidRDefault="00627418">
            <w:pPr>
              <w:widowControl w:val="0"/>
              <w:numPr>
                <w:ilvl w:val="0"/>
                <w:numId w:val="1"/>
              </w:numPr>
              <w:ind w:left="300"/>
              <w:rPr>
                <w:rFonts w:ascii="Quicksand" w:eastAsia="Quicksand" w:hAnsi="Quicksand" w:cs="Quicksand"/>
                <w:b/>
                <w:color w:val="000000"/>
                <w:sz w:val="16"/>
                <w:szCs w:val="16"/>
              </w:rPr>
            </w:pPr>
            <w:r>
              <w:rPr>
                <w:rFonts w:ascii="Quicksand" w:eastAsia="Quicksand" w:hAnsi="Quicksand" w:cs="Quicksand"/>
                <w:b/>
                <w:color w:val="FF0000"/>
                <w:sz w:val="16"/>
                <w:szCs w:val="16"/>
              </w:rPr>
              <w:t xml:space="preserve">Esfuerzos de elogio: 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>Los elogios pueden ser una intervención poderosa que aumenta la motivación, me</w:t>
            </w:r>
            <w:r>
              <w:rPr>
                <w:rFonts w:ascii="Quicksand" w:eastAsia="Quicksand" w:hAnsi="Quicksand" w:cs="Quicksand"/>
                <w:b/>
                <w:sz w:val="16"/>
                <w:szCs w:val="16"/>
              </w:rPr>
              <w:t>jora la autoeficacia y promueve conductas de aprendizaje positivas.</w:t>
            </w:r>
            <w:r>
              <w:rPr>
                <w:rFonts w:ascii="Quicksand" w:eastAsia="Quicksand" w:hAnsi="Quicksand" w:cs="Quicksand"/>
                <w:b/>
                <w:color w:val="001D35"/>
                <w:sz w:val="16"/>
                <w:szCs w:val="16"/>
              </w:rPr>
              <w:t xml:space="preserve"> </w:t>
            </w: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28"/>
                <w:szCs w:val="28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28"/>
                <w:szCs w:val="28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Quicksand" w:eastAsia="Quicksand" w:hAnsi="Quicksand" w:cs="Quicksand"/>
                <w:b/>
                <w:color w:val="323232"/>
                <w:sz w:val="30"/>
                <w:szCs w:val="30"/>
              </w:rPr>
            </w:pPr>
          </w:p>
          <w:p w:rsidR="003B379A" w:rsidRDefault="003B379A">
            <w:pPr>
              <w:widowControl w:val="0"/>
              <w:spacing w:line="240" w:lineRule="auto"/>
              <w:rPr>
                <w:rFonts w:ascii="Shadows Into Light" w:eastAsia="Shadows Into Light" w:hAnsi="Shadows Into Light" w:cs="Shadows Into Light"/>
                <w:b/>
                <w:color w:val="323232"/>
                <w:sz w:val="30"/>
                <w:szCs w:val="30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79A" w:rsidRDefault="00627418">
            <w:pPr>
              <w:widowControl w:val="0"/>
              <w:spacing w:line="180" w:lineRule="auto"/>
              <w:jc w:val="center"/>
              <w:rPr>
                <w:rFonts w:ascii="Shadows Into Light" w:eastAsia="Shadows Into Light" w:hAnsi="Shadows Into Light" w:cs="Shadows Into Light"/>
                <w:b/>
                <w:color w:val="FF0000"/>
                <w:sz w:val="30"/>
                <w:szCs w:val="30"/>
              </w:rPr>
            </w:pPr>
            <w:r>
              <w:rPr>
                <w:rFonts w:ascii="Shadows Into Light" w:eastAsia="Shadows Into Light" w:hAnsi="Shadows Into Light" w:cs="Shadows Into Light"/>
                <w:b/>
                <w:color w:val="FF0000"/>
                <w:sz w:val="30"/>
                <w:szCs w:val="30"/>
              </w:rPr>
              <w:lastRenderedPageBreak/>
              <w:t>¿Qué es el acoso?</w:t>
            </w:r>
          </w:p>
          <w:p w:rsidR="003B379A" w:rsidRDefault="003B379A">
            <w:pPr>
              <w:widowControl w:val="0"/>
              <w:spacing w:line="180" w:lineRule="auto"/>
              <w:jc w:val="center"/>
              <w:rPr>
                <w:rFonts w:ascii="Shadows Into Light" w:eastAsia="Shadows Into Light" w:hAnsi="Shadows Into Light" w:cs="Shadows Into Light"/>
                <w:b/>
                <w:color w:val="FF0000"/>
                <w:sz w:val="30"/>
                <w:szCs w:val="30"/>
              </w:rPr>
            </w:pPr>
          </w:p>
          <w:p w:rsidR="003B379A" w:rsidRDefault="00627418">
            <w:pPr>
              <w:spacing w:before="20" w:line="240" w:lineRule="auto"/>
              <w:ind w:left="20"/>
              <w:rPr>
                <w:rFonts w:ascii="Shadows Into Light" w:eastAsia="Shadows Into Light" w:hAnsi="Shadows Into Light" w:cs="Shadows Into Light"/>
                <w:b/>
                <w:sz w:val="26"/>
                <w:szCs w:val="26"/>
              </w:rPr>
            </w:pPr>
            <w:r>
              <w:rPr>
                <w:rFonts w:ascii="Shadows Into Light" w:eastAsia="Shadows Into Light" w:hAnsi="Shadows Into Light" w:cs="Shadows Into Light"/>
                <w:b/>
                <w:sz w:val="26"/>
                <w:szCs w:val="26"/>
              </w:rPr>
              <w:t>El acoso puede ser...</w:t>
            </w:r>
          </w:p>
          <w:p w:rsidR="003B379A" w:rsidRDefault="003B379A">
            <w:pPr>
              <w:spacing w:before="20" w:line="240" w:lineRule="auto"/>
              <w:ind w:left="20"/>
              <w:rPr>
                <w:rFonts w:ascii="Shadows Into Light" w:eastAsia="Shadows Into Light" w:hAnsi="Shadows Into Light" w:cs="Shadows Into Light"/>
                <w:b/>
                <w:sz w:val="26"/>
                <w:szCs w:val="26"/>
              </w:rPr>
            </w:pPr>
          </w:p>
          <w:p w:rsidR="003B379A" w:rsidRDefault="00627418">
            <w:pPr>
              <w:spacing w:line="240" w:lineRule="auto"/>
              <w:ind w:left="20" w:right="2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proofErr w:type="spellStart"/>
            <w:r>
              <w:rPr>
                <w:rFonts w:ascii="Quicksand" w:eastAsia="Quicksand" w:hAnsi="Quicksand" w:cs="Quicksand"/>
                <w:b/>
                <w:i/>
                <w:color w:val="FF0000"/>
                <w:sz w:val="20"/>
                <w:szCs w:val="20"/>
                <w:u w:val="single"/>
              </w:rPr>
              <w:t>PAG</w:t>
            </w:r>
            <w:r>
              <w:rPr>
                <w:rFonts w:ascii="Quicksand" w:eastAsia="Quicksand" w:hAnsi="Quicksand" w:cs="Quicksand"/>
                <w:b/>
                <w:i/>
                <w:color w:val="FF0000"/>
                <w:sz w:val="18"/>
                <w:szCs w:val="18"/>
                <w:u w:val="single"/>
              </w:rPr>
              <w:t>físico</w:t>
            </w:r>
            <w:proofErr w:type="spellEnd"/>
            <w:r>
              <w:rPr>
                <w:rFonts w:ascii="Quicksand" w:eastAsia="Quicksand" w:hAnsi="Quicksand" w:cs="Quicksand"/>
                <w:color w:val="FF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hadows Into Light" w:eastAsia="Shadows Into Light" w:hAnsi="Shadows Into Light" w:cs="Shadows Into Light"/>
                <w:sz w:val="18"/>
                <w:szCs w:val="18"/>
              </w:rPr>
              <w:t>t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El</w:t>
            </w:r>
            <w:proofErr w:type="spellEnd"/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 xml:space="preserve"> suyo puede ser fácil de reconocer. Los ejemplos incluyen empujar, golpear, patear, morder, tirar del cabello, tocar inapropiadamente, romper objetos y tomar o dañar las cosas de otra persona.</w:t>
            </w:r>
          </w:p>
          <w:p w:rsidR="003B379A" w:rsidRDefault="00627418">
            <w:pPr>
              <w:spacing w:line="240" w:lineRule="auto"/>
              <w:ind w:left="20" w:right="18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i/>
                <w:sz w:val="18"/>
                <w:szCs w:val="18"/>
              </w:rPr>
              <w:t>Verbal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: Es muy común porque es rápido, directo y fácil de hac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er sin llamar la atención de los adultos. Los ejemplos incluyen burlas, insultos, amenazas, intimidación, bromas degradantes, rumores, chismes y calumnias.</w:t>
            </w:r>
          </w:p>
          <w:p w:rsidR="003B379A" w:rsidRDefault="003B379A">
            <w:pPr>
              <w:spacing w:line="240" w:lineRule="auto"/>
              <w:ind w:left="20" w:right="18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</w:p>
          <w:p w:rsidR="003B379A" w:rsidRDefault="00627418">
            <w:pPr>
              <w:spacing w:line="240" w:lineRule="auto"/>
              <w:ind w:left="20" w:right="10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i/>
                <w:color w:val="FF0000"/>
                <w:sz w:val="18"/>
                <w:szCs w:val="18"/>
                <w:u w:val="single"/>
              </w:rPr>
              <w:t>Emocional</w:t>
            </w:r>
            <w:r>
              <w:rPr>
                <w:rFonts w:ascii="Quicksand" w:eastAsia="Quicksand" w:hAnsi="Quicksand" w:cs="Quicksand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Este tipo de acoso puede ser sutil y difícil de detectar. Se calcula y puede ser perpetr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ado por una sola persona, pero más a menudo lo hace un grupo. Está dirigido al sentido de identidad de una persona, lo que le hace cuestionar su autoestima. Los ejemplos incluyen dejar a alguien afuera a propósito, decir mentiras para dañar la reputación d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e alguien y humillar a alguien públicamente.</w:t>
            </w:r>
          </w:p>
          <w:p w:rsidR="003B379A" w:rsidRDefault="003B379A">
            <w:pPr>
              <w:spacing w:line="240" w:lineRule="auto"/>
              <w:ind w:left="20" w:right="10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</w:p>
          <w:p w:rsidR="003B379A" w:rsidRDefault="00627418">
            <w:pPr>
              <w:spacing w:line="240" w:lineRule="auto"/>
              <w:ind w:left="20" w:right="24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r>
              <w:rPr>
                <w:rFonts w:ascii="Quicksand" w:eastAsia="Quicksand" w:hAnsi="Quicksand" w:cs="Quicksand"/>
                <w:b/>
                <w:i/>
                <w:color w:val="FF0000"/>
                <w:sz w:val="18"/>
                <w:szCs w:val="18"/>
                <w:u w:val="single"/>
              </w:rPr>
              <w:t>Sexual</w:t>
            </w:r>
            <w:r>
              <w:rPr>
                <w:rFonts w:ascii="Quicksand" w:eastAsia="Quicksand" w:hAnsi="Quicksand" w:cs="Quicksand"/>
                <w:b/>
                <w:color w:val="FF0000"/>
                <w:sz w:val="18"/>
                <w:szCs w:val="18"/>
                <w:u w:val="single"/>
              </w:rPr>
              <w:t>: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 xml:space="preserve"> No todo el mundo piensa que el contacto sexual no deseado o los comentarios son intimidación. También suele ser difícil hablar de ello, ya que puede ser muy personal y confuso. Puede incluir el uso de p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alabras degradantes sobre el género o la sexualidad de alguien, tocamientos o contacto físico no deseado o inapropiado, compartir información personal sobre relaciones o publicar fotografías inapropiadas en línea.</w:t>
            </w:r>
          </w:p>
          <w:p w:rsidR="003B379A" w:rsidRDefault="003B379A">
            <w:pPr>
              <w:spacing w:line="240" w:lineRule="auto"/>
              <w:ind w:left="20" w:right="24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</w:p>
          <w:p w:rsidR="003B379A" w:rsidRDefault="00627418">
            <w:pPr>
              <w:spacing w:line="240" w:lineRule="auto"/>
              <w:ind w:left="20" w:right="120"/>
              <w:rPr>
                <w:rFonts w:ascii="Quicksand" w:eastAsia="Quicksand" w:hAnsi="Quicksand" w:cs="Quicksand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Quicksand" w:eastAsia="Quicksand" w:hAnsi="Quicksand" w:cs="Quicksand"/>
                <w:b/>
                <w:i/>
                <w:color w:val="FF0000"/>
                <w:sz w:val="18"/>
                <w:szCs w:val="18"/>
                <w:u w:val="single"/>
              </w:rPr>
              <w:t>ciberbullying</w:t>
            </w:r>
            <w:proofErr w:type="spellEnd"/>
            <w:proofErr w:type="gramEnd"/>
            <w:r>
              <w:rPr>
                <w:rFonts w:ascii="Quicksand" w:eastAsia="Quicksand" w:hAnsi="Quicksand" w:cs="Quicksand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 xml:space="preserve"> Usar la tecnología para he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rir o perjudicar a alguien. Los ejemplos incluyen enviar mensajes de texto desagradables, burlarse de la publicación de alguien, compartir videos o fotos que humillen a alguien, “</w:t>
            </w:r>
            <w:proofErr w:type="spellStart"/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trollear</w:t>
            </w:r>
            <w:proofErr w:type="spellEnd"/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>” a alguien hasta el punto de</w:t>
            </w:r>
            <w:r>
              <w:rPr>
                <w:rFonts w:ascii="Quicksand" w:eastAsia="Quicksand" w:hAnsi="Quicksand" w:cs="Quicksand"/>
                <w:b/>
              </w:rPr>
              <w:t xml:space="preserve"> </w:t>
            </w:r>
            <w:r>
              <w:rPr>
                <w:rFonts w:ascii="Quicksand" w:eastAsia="Quicksand" w:hAnsi="Quicksand" w:cs="Quicksand"/>
                <w:b/>
                <w:sz w:val="18"/>
                <w:szCs w:val="18"/>
              </w:rPr>
              <w:t xml:space="preserve">acoso, o difundir rumores o chismes. </w:t>
            </w:r>
          </w:p>
          <w:p w:rsidR="003B379A" w:rsidRDefault="003B379A">
            <w:pPr>
              <w:spacing w:before="40" w:after="240"/>
              <w:ind w:left="720"/>
              <w:rPr>
                <w:rFonts w:ascii="Quicksand" w:eastAsia="Quicksand" w:hAnsi="Quicksand" w:cs="Quicksand"/>
                <w:b/>
                <w:color w:val="212529"/>
                <w:sz w:val="12"/>
                <w:szCs w:val="12"/>
              </w:rPr>
            </w:pPr>
          </w:p>
          <w:p w:rsidR="003B379A" w:rsidRDefault="003B379A">
            <w:pPr>
              <w:spacing w:before="40" w:after="240"/>
              <w:ind w:left="720"/>
              <w:rPr>
                <w:rFonts w:ascii="Quicksand" w:eastAsia="Quicksand" w:hAnsi="Quicksand" w:cs="Quicksand"/>
                <w:b/>
                <w:color w:val="212529"/>
                <w:sz w:val="12"/>
                <w:szCs w:val="12"/>
              </w:rPr>
            </w:pPr>
          </w:p>
          <w:p w:rsidR="003B379A" w:rsidRDefault="003B379A">
            <w:pPr>
              <w:spacing w:before="40" w:after="240"/>
              <w:ind w:left="720"/>
              <w:rPr>
                <w:rFonts w:ascii="Quicksand" w:eastAsia="Quicksand" w:hAnsi="Quicksand" w:cs="Quicksand"/>
                <w:b/>
                <w:color w:val="212529"/>
                <w:sz w:val="12"/>
                <w:szCs w:val="12"/>
              </w:rPr>
            </w:pPr>
          </w:p>
          <w:p w:rsidR="003B379A" w:rsidRDefault="003B379A">
            <w:pPr>
              <w:spacing w:before="40" w:after="240"/>
              <w:ind w:left="720"/>
              <w:rPr>
                <w:rFonts w:ascii="Quicksand" w:eastAsia="Quicksand" w:hAnsi="Quicksand" w:cs="Quicksand"/>
                <w:b/>
                <w:color w:val="212529"/>
                <w:sz w:val="12"/>
                <w:szCs w:val="12"/>
              </w:rPr>
            </w:pPr>
          </w:p>
          <w:p w:rsidR="003B379A" w:rsidRDefault="003B379A">
            <w:pPr>
              <w:spacing w:before="40" w:after="240"/>
              <w:ind w:left="720"/>
              <w:rPr>
                <w:rFonts w:ascii="Quicksand" w:eastAsia="Quicksand" w:hAnsi="Quicksand" w:cs="Quicksand"/>
                <w:b/>
                <w:color w:val="212529"/>
                <w:sz w:val="16"/>
                <w:szCs w:val="16"/>
              </w:rPr>
            </w:pPr>
          </w:p>
        </w:tc>
      </w:tr>
    </w:tbl>
    <w:p w:rsidR="003B379A" w:rsidRDefault="003B379A">
      <w:pPr>
        <w:rPr>
          <w:rFonts w:ascii="Shadows Into Light" w:eastAsia="Shadows Into Light" w:hAnsi="Shadows Into Light" w:cs="Shadows Into Light"/>
          <w:color w:val="FF0000"/>
          <w:sz w:val="42"/>
          <w:szCs w:val="42"/>
        </w:rPr>
      </w:pPr>
    </w:p>
    <w:p w:rsidR="003B379A" w:rsidRDefault="003B379A">
      <w:pPr>
        <w:widowControl w:val="0"/>
        <w:spacing w:line="240" w:lineRule="auto"/>
        <w:rPr>
          <w:rFonts w:ascii="Shadows Into Light" w:eastAsia="Shadows Into Light" w:hAnsi="Shadows Into Light" w:cs="Shadows Into Light"/>
          <w:b/>
          <w:color w:val="323232"/>
          <w:sz w:val="32"/>
          <w:szCs w:val="32"/>
        </w:rPr>
      </w:pPr>
    </w:p>
    <w:p w:rsidR="003B379A" w:rsidRDefault="00627418">
      <w:pPr>
        <w:widowControl w:val="0"/>
        <w:spacing w:line="240" w:lineRule="auto"/>
        <w:rPr>
          <w:rFonts w:ascii="Shadows Into Light" w:eastAsia="Shadows Into Light" w:hAnsi="Shadows Into Light" w:cs="Shadows Into Light"/>
          <w:b/>
          <w:color w:val="323232"/>
          <w:sz w:val="30"/>
          <w:szCs w:val="30"/>
        </w:rPr>
      </w:pPr>
      <w:r>
        <w:rPr>
          <w:rFonts w:ascii="Shadows Into Light" w:eastAsia="Shadows Into Light" w:hAnsi="Shadows Into Light" w:cs="Shadows Into Light"/>
          <w:b/>
          <w:color w:val="323232"/>
          <w:sz w:val="30"/>
          <w:szCs w:val="30"/>
        </w:rPr>
        <w:t xml:space="preserve"> </w:t>
      </w:r>
    </w:p>
    <w:p w:rsidR="003B379A" w:rsidRDefault="003B379A">
      <w:pPr>
        <w:widowControl w:val="0"/>
        <w:spacing w:line="240" w:lineRule="auto"/>
      </w:pPr>
    </w:p>
    <w:p w:rsidR="003B379A" w:rsidRDefault="003B379A">
      <w:pPr>
        <w:widowControl w:val="0"/>
        <w:spacing w:line="240" w:lineRule="auto"/>
      </w:pPr>
    </w:p>
    <w:sectPr w:rsidR="003B379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ss Start 2P">
    <w:charset w:val="00"/>
    <w:family w:val="auto"/>
    <w:pitch w:val="default"/>
  </w:font>
  <w:font w:name="Abril Fatface">
    <w:charset w:val="00"/>
    <w:family w:val="auto"/>
    <w:pitch w:val="default"/>
  </w:font>
  <w:font w:name="Quicksand">
    <w:charset w:val="00"/>
    <w:family w:val="auto"/>
    <w:pitch w:val="default"/>
  </w:font>
  <w:font w:name="Shadows Into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63C"/>
    <w:multiLevelType w:val="multilevel"/>
    <w:tmpl w:val="13480E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C4D2444"/>
    <w:multiLevelType w:val="multilevel"/>
    <w:tmpl w:val="105CD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5511E8"/>
    <w:multiLevelType w:val="multilevel"/>
    <w:tmpl w:val="2EE21DEC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EF323D"/>
    <w:multiLevelType w:val="multilevel"/>
    <w:tmpl w:val="167AB3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10C377C"/>
    <w:multiLevelType w:val="multilevel"/>
    <w:tmpl w:val="98543D1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875B13"/>
    <w:multiLevelType w:val="multilevel"/>
    <w:tmpl w:val="70749002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9E65B8"/>
    <w:multiLevelType w:val="multilevel"/>
    <w:tmpl w:val="1EC6D8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9A"/>
    <w:rsid w:val="003B379A"/>
    <w:rsid w:val="0062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4D958-58EF-4DB0-B125-3600EA35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Swearengin</dc:creator>
  <cp:lastModifiedBy>Brandi Swearengin</cp:lastModifiedBy>
  <cp:revision>2</cp:revision>
  <dcterms:created xsi:type="dcterms:W3CDTF">2024-08-30T20:59:00Z</dcterms:created>
  <dcterms:modified xsi:type="dcterms:W3CDTF">2024-08-30T20:59:00Z</dcterms:modified>
</cp:coreProperties>
</file>